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55A88F66" w14:textId="3041D1E0" w:rsidR="00A160B2" w:rsidRPr="00A160B2" w:rsidRDefault="00B84A87" w:rsidP="003B3597">
            <w:pPr>
              <w:pStyle w:val="Heading1"/>
              <w:outlineLvl w:val="0"/>
              <w:rPr>
                <w:color w:val="0000FF"/>
                <w:szCs w:val="24"/>
              </w:rPr>
            </w:pPr>
            <w:r>
              <w:t xml:space="preserve">Pension </w:t>
            </w:r>
            <w:r w:rsidR="007D0620">
              <w:t>Board</w:t>
            </w: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6565F5F7" w:rsidR="00A160B2" w:rsidRDefault="0058715E" w:rsidP="006C3150">
            <w:pPr>
              <w:pStyle w:val="Infotext"/>
              <w:rPr>
                <w:rFonts w:cs="Arial"/>
              </w:rPr>
            </w:pPr>
            <w:r>
              <w:rPr>
                <w:rFonts w:cs="Arial"/>
              </w:rPr>
              <w:t>16 December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1D37E68E" w14:textId="77777777" w:rsidR="00A160B2" w:rsidRDefault="0058715E" w:rsidP="006C3150">
            <w:pPr>
              <w:pStyle w:val="Infotext"/>
              <w:rPr>
                <w:rFonts w:cs="Arial"/>
              </w:rPr>
            </w:pPr>
            <w:r>
              <w:rPr>
                <w:rFonts w:cs="Arial"/>
              </w:rPr>
              <w:t xml:space="preserve">Audit of </w:t>
            </w:r>
            <w:r w:rsidR="00B84A87">
              <w:rPr>
                <w:rFonts w:cs="Arial"/>
              </w:rPr>
              <w:t>Pension Fund A</w:t>
            </w:r>
            <w:r w:rsidR="00922249">
              <w:rPr>
                <w:rFonts w:cs="Arial"/>
              </w:rPr>
              <w:t>nnual Report</w:t>
            </w:r>
            <w:r w:rsidR="00B84A87">
              <w:rPr>
                <w:rFonts w:cs="Arial"/>
              </w:rPr>
              <w:t xml:space="preserve"> </w:t>
            </w:r>
            <w:r>
              <w:rPr>
                <w:rFonts w:cs="Arial"/>
              </w:rPr>
              <w:t xml:space="preserve">and Accounts </w:t>
            </w:r>
            <w:r w:rsidR="00B84A87">
              <w:rPr>
                <w:rFonts w:cs="Arial"/>
              </w:rPr>
              <w:t>for 2020-21</w:t>
            </w:r>
          </w:p>
          <w:p w14:paraId="5914456E" w14:textId="78F6556B" w:rsidR="003B3597" w:rsidRDefault="003B3597" w:rsidP="006C3150">
            <w:pPr>
              <w:pStyle w:val="Infotext"/>
              <w:rPr>
                <w:rFonts w:cs="Arial"/>
              </w:rPr>
            </w:pPr>
          </w:p>
        </w:tc>
      </w:tr>
      <w:tr w:rsidR="00A160B2" w14:paraId="3A5E0F07" w14:textId="77777777" w:rsidTr="007855AE">
        <w:tc>
          <w:tcPr>
            <w:tcW w:w="3388" w:type="dxa"/>
          </w:tcPr>
          <w:p w14:paraId="3526B74C" w14:textId="545D3E28"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62B97F28" w:rsidR="00A160B2" w:rsidRPr="003B3597" w:rsidRDefault="00180D94" w:rsidP="006C3150">
            <w:pPr>
              <w:pStyle w:val="Infotext"/>
              <w:rPr>
                <w:bCs/>
              </w:rPr>
            </w:pPr>
            <w:r w:rsidRPr="003B3597">
              <w:rPr>
                <w:bCs/>
              </w:rPr>
              <w:t>None</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5EB5AA9C" w14:textId="4D617E94" w:rsidR="00FF2B1A" w:rsidRDefault="00E2344F" w:rsidP="00FF2B1A">
            <w:pPr>
              <w:pStyle w:val="Infotext"/>
              <w:tabs>
                <w:tab w:val="center" w:pos="2352"/>
              </w:tabs>
            </w:pPr>
            <w:r>
              <w:t xml:space="preserve">Appendix 1 – </w:t>
            </w:r>
            <w:r w:rsidR="00FF2B1A">
              <w:t xml:space="preserve">Audit </w:t>
            </w:r>
            <w:r w:rsidR="0058715E">
              <w:t xml:space="preserve">Completion </w:t>
            </w:r>
            <w:r w:rsidR="003B3597">
              <w:t>Report November</w:t>
            </w:r>
            <w:r w:rsidR="0058715E">
              <w:t xml:space="preserve"> 2021 </w:t>
            </w:r>
            <w:r w:rsidR="00FF2B1A">
              <w:t xml:space="preserve">(Mazars) </w:t>
            </w:r>
          </w:p>
          <w:p w14:paraId="4C232B02" w14:textId="6D3F524B" w:rsidR="00922249" w:rsidRDefault="00922249" w:rsidP="006C3150">
            <w:pPr>
              <w:pStyle w:val="Infotext"/>
            </w:pPr>
          </w:p>
        </w:tc>
      </w:tr>
    </w:tbl>
    <w:p w14:paraId="18A939CB" w14:textId="7259CE31" w:rsidR="007855AE" w:rsidRDefault="007855AE"/>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8"/>
      </w:tblGrid>
      <w:tr w:rsidR="00A160B2" w14:paraId="332F8595" w14:textId="77777777" w:rsidTr="003737C1">
        <w:trPr>
          <w:tblHeader/>
        </w:trPr>
        <w:tc>
          <w:tcPr>
            <w:tcW w:w="8528"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3737C1">
        <w:trPr>
          <w:tblHeader/>
        </w:trPr>
        <w:tc>
          <w:tcPr>
            <w:tcW w:w="8528" w:type="dxa"/>
            <w:tcBorders>
              <w:left w:val="nil"/>
              <w:bottom w:val="nil"/>
              <w:right w:val="nil"/>
            </w:tcBorders>
          </w:tcPr>
          <w:p w14:paraId="41297458" w14:textId="3882B8AE" w:rsidR="00E2344F" w:rsidRPr="001E6E68" w:rsidRDefault="00E2344F" w:rsidP="00E2344F">
            <w:pPr>
              <w:jc w:val="both"/>
              <w:rPr>
                <w:rFonts w:cs="Arial"/>
                <w:szCs w:val="24"/>
              </w:rPr>
            </w:pPr>
            <w:r w:rsidRPr="000F3B4B">
              <w:rPr>
                <w:rFonts w:cs="Arial"/>
                <w:szCs w:val="24"/>
                <w:lang w:eastAsia="en-GB"/>
              </w:rPr>
              <w:t xml:space="preserve">This report </w:t>
            </w:r>
            <w:r w:rsidR="0058715E" w:rsidRPr="000F3B4B">
              <w:rPr>
                <w:rFonts w:cs="Arial"/>
                <w:szCs w:val="24"/>
                <w:lang w:eastAsia="en-GB"/>
              </w:rPr>
              <w:t xml:space="preserve">sets out the outcome of the audit of the </w:t>
            </w:r>
            <w:r w:rsidRPr="000F3B4B">
              <w:rPr>
                <w:rFonts w:cs="Arial"/>
              </w:rPr>
              <w:t xml:space="preserve">Pension Fund </w:t>
            </w:r>
            <w:r w:rsidR="00922249" w:rsidRPr="000F3B4B">
              <w:rPr>
                <w:rFonts w:cs="Arial"/>
              </w:rPr>
              <w:t>Annual Report</w:t>
            </w:r>
            <w:r w:rsidRPr="000F3B4B">
              <w:rPr>
                <w:rFonts w:cs="Arial"/>
              </w:rPr>
              <w:t xml:space="preserve"> for the year ended 31 March 2021</w:t>
            </w:r>
            <w:r w:rsidR="000F3B4B">
              <w:rPr>
                <w:rFonts w:cs="Arial"/>
              </w:rPr>
              <w:t>.</w:t>
            </w:r>
            <w:bookmarkStart w:id="0" w:name="_GoBack"/>
            <w:bookmarkEnd w:id="0"/>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50025E09" w:rsidR="00A160B2" w:rsidRDefault="00E2344F" w:rsidP="00E2344F">
            <w:r>
              <w:t xml:space="preserve">The </w:t>
            </w:r>
            <w:r w:rsidR="007D0620">
              <w:t>Board</w:t>
            </w:r>
            <w:r>
              <w:t xml:space="preserve"> is recommended </w:t>
            </w:r>
            <w:r w:rsidR="00922249">
              <w:t xml:space="preserve">to </w:t>
            </w:r>
            <w:r w:rsidR="007D0620">
              <w:t>note</w:t>
            </w:r>
            <w:r w:rsidR="00922249">
              <w:t xml:space="preserve"> </w:t>
            </w:r>
            <w:r w:rsidR="0058715E">
              <w:t>outcome of the audit.</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0928E9F0" w14:textId="16DACD5A" w:rsidR="007808A7" w:rsidRDefault="00A24389" w:rsidP="007808A7">
      <w:pPr>
        <w:numPr>
          <w:ilvl w:val="0"/>
          <w:numId w:val="16"/>
        </w:numPr>
        <w:tabs>
          <w:tab w:val="clear" w:pos="584"/>
        </w:tabs>
        <w:ind w:left="284" w:hanging="284"/>
        <w:jc w:val="both"/>
      </w:pPr>
      <w:bookmarkStart w:id="1" w:name="_Hlk74148209"/>
      <w:r>
        <w:t xml:space="preserve">At its last meeting, the Board reviewed the Pension Fund’s draft Annual Report and Accounts for 2020-21. At that time the audit of these and the Council’s own accounts was in progress. </w:t>
      </w:r>
    </w:p>
    <w:p w14:paraId="6304B289" w14:textId="77777777" w:rsidR="00A24389" w:rsidRDefault="00A24389" w:rsidP="00A24389">
      <w:pPr>
        <w:ind w:left="284"/>
        <w:jc w:val="both"/>
      </w:pPr>
    </w:p>
    <w:p w14:paraId="16E97FDC" w14:textId="47AB0118" w:rsidR="00A24389" w:rsidRPr="00A24389" w:rsidRDefault="00A24389" w:rsidP="007808A7">
      <w:pPr>
        <w:numPr>
          <w:ilvl w:val="0"/>
          <w:numId w:val="16"/>
        </w:numPr>
        <w:tabs>
          <w:tab w:val="clear" w:pos="584"/>
        </w:tabs>
        <w:ind w:left="284" w:hanging="284"/>
        <w:jc w:val="both"/>
      </w:pPr>
      <w:r>
        <w:t xml:space="preserve">On 30 November 2021, the Council’s external auditors, Mazars, reported the outcome of this year’s audit to the Governance, Audit, Risk Management and Standards (GARMS) Committee.  The audit was virtually completed at that time, and a few minor tasks to achieve the formal completion of the audit were being carried out. At the time of writing this report that work was continuing.  </w:t>
      </w:r>
      <w:r w:rsidR="00127E09">
        <w:t>The Committee formally approved the accounts.</w:t>
      </w:r>
    </w:p>
    <w:p w14:paraId="6FE68D6E" w14:textId="77777777" w:rsidR="007808A7" w:rsidRPr="00A24389" w:rsidRDefault="007808A7" w:rsidP="007808A7">
      <w:pPr>
        <w:ind w:left="284"/>
        <w:jc w:val="both"/>
      </w:pPr>
    </w:p>
    <w:p w14:paraId="2A2C7AF4" w14:textId="77777777" w:rsidR="00A24389" w:rsidRDefault="00A24389" w:rsidP="00E2344F">
      <w:pPr>
        <w:numPr>
          <w:ilvl w:val="0"/>
          <w:numId w:val="16"/>
        </w:numPr>
        <w:tabs>
          <w:tab w:val="clear" w:pos="584"/>
          <w:tab w:val="num" w:pos="284"/>
        </w:tabs>
        <w:ind w:left="284" w:hanging="284"/>
        <w:jc w:val="both"/>
      </w:pPr>
      <w:r>
        <w:lastRenderedPageBreak/>
        <w:t xml:space="preserve">Mazars’ Audit Completion Report in respect of the Pension fund audit is attached at appendix 1. </w:t>
      </w:r>
      <w:r w:rsidR="007808A7" w:rsidRPr="00A24389">
        <w:t>Th</w:t>
      </w:r>
      <w:r>
        <w:t xml:space="preserve">is shows a successful outcome – in particular there were no matters of concern to report, and an unqualified opinion has been issued in respect of the accounts. </w:t>
      </w:r>
    </w:p>
    <w:p w14:paraId="0775B5E4" w14:textId="77777777" w:rsidR="00A24389" w:rsidRDefault="00A24389" w:rsidP="00A24389">
      <w:pPr>
        <w:pStyle w:val="ListParagraph"/>
      </w:pPr>
    </w:p>
    <w:p w14:paraId="3206E25B" w14:textId="5C0C039E" w:rsidR="00A24389" w:rsidRDefault="00A24389" w:rsidP="00E2344F">
      <w:pPr>
        <w:numPr>
          <w:ilvl w:val="0"/>
          <w:numId w:val="16"/>
        </w:numPr>
        <w:tabs>
          <w:tab w:val="clear" w:pos="584"/>
          <w:tab w:val="num" w:pos="284"/>
        </w:tabs>
        <w:ind w:left="284" w:hanging="284"/>
        <w:jc w:val="both"/>
      </w:pPr>
      <w:r>
        <w:t xml:space="preserve">The auditors have made one “emphasis of matter” – the ongoing uncertainty regarding the valuations of property investments </w:t>
      </w:r>
      <w:r w:rsidR="002F7039">
        <w:t xml:space="preserve">which is stated in the Royal society of Chartered Surveyors’ (RICS guidance). This is a purely technical item, and one which will be common to most LGPS Funds, as the majority will hold some property investments. At 31 March 2021 the value of the fund’s property investments was £61.561m – 6.3% of the fund’s total assets (£967.984m. </w:t>
      </w:r>
    </w:p>
    <w:p w14:paraId="4D2683DE" w14:textId="77777777" w:rsidR="00A24389" w:rsidRDefault="00A24389" w:rsidP="00A24389">
      <w:pPr>
        <w:pStyle w:val="ListParagraph"/>
      </w:pPr>
    </w:p>
    <w:p w14:paraId="613DD7E3" w14:textId="6DD38636" w:rsidR="002F7039" w:rsidRDefault="002F7039" w:rsidP="00E2344F">
      <w:pPr>
        <w:numPr>
          <w:ilvl w:val="0"/>
          <w:numId w:val="16"/>
        </w:numPr>
        <w:tabs>
          <w:tab w:val="clear" w:pos="584"/>
          <w:tab w:val="num" w:pos="284"/>
        </w:tabs>
        <w:ind w:left="284" w:hanging="284"/>
        <w:jc w:val="both"/>
      </w:pPr>
      <w:r>
        <w:t xml:space="preserve">There was only one change from the version submitted – to note 23: Additional Voluntary Contributions. As reported to the previous meeting, there had been some delays in receiving information from one of the AVC providers, Prudential. That information was subsequently received and the note updated accordingly. For ease of reference, rather than appending the entire Annual Report and Accounts document again, the updated note 23 is reproduced below. </w:t>
      </w:r>
      <w:r w:rsidR="00127E09">
        <w:t xml:space="preserve">This is a stand alone note (AVC’s are invested outside of the Pension Fund) and did not affect any other part of the accounts. </w:t>
      </w:r>
    </w:p>
    <w:p w14:paraId="1C9005D2" w14:textId="77777777" w:rsidR="002F7039" w:rsidRDefault="002F7039" w:rsidP="002F7039">
      <w:pPr>
        <w:pStyle w:val="ListParagraph"/>
      </w:pPr>
    </w:p>
    <w:p w14:paraId="050EF4DC" w14:textId="1D94D936" w:rsidR="002F7039" w:rsidRDefault="002F7039" w:rsidP="002F7039">
      <w:pPr>
        <w:ind w:left="284"/>
        <w:jc w:val="both"/>
      </w:pPr>
      <w:r w:rsidRPr="002F7039">
        <w:rPr>
          <w:noProof/>
        </w:rPr>
        <w:drawing>
          <wp:inline distT="0" distB="0" distL="0" distR="0" wp14:anchorId="492DA30C" wp14:editId="4D297572">
            <wp:extent cx="5276215"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215" cy="2063750"/>
                    </a:xfrm>
                    <a:prstGeom prst="rect">
                      <a:avLst/>
                    </a:prstGeom>
                    <a:noFill/>
                    <a:ln>
                      <a:noFill/>
                    </a:ln>
                  </pic:spPr>
                </pic:pic>
              </a:graphicData>
            </a:graphic>
          </wp:inline>
        </w:drawing>
      </w:r>
    </w:p>
    <w:p w14:paraId="72100E12" w14:textId="7D236775" w:rsidR="00127E09" w:rsidRPr="00A24389" w:rsidRDefault="002F7039" w:rsidP="00127E09">
      <w:pPr>
        <w:numPr>
          <w:ilvl w:val="0"/>
          <w:numId w:val="16"/>
        </w:numPr>
        <w:tabs>
          <w:tab w:val="clear" w:pos="584"/>
          <w:tab w:val="num" w:pos="284"/>
        </w:tabs>
        <w:ind w:left="284" w:hanging="284"/>
        <w:jc w:val="both"/>
      </w:pPr>
      <w:r>
        <w:t xml:space="preserve">Once the formal sign off has been completed – this is expected to be done during December 2021, </w:t>
      </w:r>
      <w:r w:rsidR="00127E09">
        <w:t xml:space="preserve">the audited version of the report will be published. This will be slightly later than the statutory deadline of </w:t>
      </w:r>
      <w:r w:rsidR="005F61BC" w:rsidRPr="00A24389">
        <w:t>1 December 2021</w:t>
      </w:r>
      <w:r w:rsidR="00127E09">
        <w:t xml:space="preserve">, but as with the previous year, the delay is not due to any action or inaction by Harrow. </w:t>
      </w:r>
      <w:bookmarkEnd w:id="1"/>
    </w:p>
    <w:p w14:paraId="3469E0D9" w14:textId="621B169D" w:rsidR="00213BE7" w:rsidRDefault="00213BE7" w:rsidP="00213BE7">
      <w:pPr>
        <w:pStyle w:val="Heading2"/>
      </w:pPr>
      <w:r>
        <w:t>Legal Implications</w:t>
      </w:r>
    </w:p>
    <w:p w14:paraId="443F8251" w14:textId="53772BE0" w:rsidR="00180D94" w:rsidRDefault="00180D94" w:rsidP="00180D94"/>
    <w:p w14:paraId="37988216" w14:textId="49AD5D32" w:rsidR="0058715E" w:rsidRPr="0058715E" w:rsidRDefault="00180D94" w:rsidP="00180D94">
      <w:pPr>
        <w:pStyle w:val="ListParagraph"/>
        <w:numPr>
          <w:ilvl w:val="0"/>
          <w:numId w:val="16"/>
        </w:numPr>
        <w:rPr>
          <w:sz w:val="24"/>
          <w:szCs w:val="24"/>
        </w:rPr>
      </w:pPr>
      <w:r w:rsidRPr="0058715E">
        <w:rPr>
          <w:sz w:val="24"/>
          <w:szCs w:val="24"/>
        </w:rPr>
        <w:t>There are no direct legal implications arising from this report</w:t>
      </w:r>
    </w:p>
    <w:p w14:paraId="1ADD2C18" w14:textId="77777777" w:rsidR="0058715E" w:rsidRPr="0058715E" w:rsidRDefault="0058715E" w:rsidP="0058715E">
      <w:pPr>
        <w:pStyle w:val="ListParagraph"/>
        <w:ind w:left="584"/>
        <w:rPr>
          <w:sz w:val="24"/>
          <w:szCs w:val="24"/>
        </w:rPr>
      </w:pPr>
    </w:p>
    <w:p w14:paraId="2CAF9D62" w14:textId="2A32426C" w:rsidR="00180D94" w:rsidRDefault="0058715E" w:rsidP="00180D94">
      <w:pPr>
        <w:pStyle w:val="ListParagraph"/>
        <w:numPr>
          <w:ilvl w:val="0"/>
          <w:numId w:val="16"/>
        </w:numPr>
        <w:rPr>
          <w:sz w:val="24"/>
          <w:szCs w:val="24"/>
        </w:rPr>
      </w:pPr>
      <w:r w:rsidRPr="0058715E">
        <w:rPr>
          <w:sz w:val="24"/>
          <w:szCs w:val="24"/>
        </w:rPr>
        <w:t>The terms of reference for the Board include assisting the Administering Authority (London Borough of Harrow) as Scheme Manager in ensuring the effective and efficient governance and administration of the Local Government Pension Scheme</w:t>
      </w:r>
      <w:r w:rsidR="00180D94" w:rsidRPr="00F22AA0">
        <w:rPr>
          <w:sz w:val="24"/>
          <w:szCs w:val="24"/>
        </w:rPr>
        <w:t>.</w:t>
      </w:r>
    </w:p>
    <w:p w14:paraId="499CFE57" w14:textId="77777777" w:rsidR="003B3597" w:rsidRDefault="003B3597" w:rsidP="003D2FFE">
      <w:pPr>
        <w:pStyle w:val="Heading2"/>
        <w:spacing w:after="240"/>
      </w:pPr>
    </w:p>
    <w:p w14:paraId="41BB405D" w14:textId="681D5D9B" w:rsidR="002A2389" w:rsidRDefault="002A2389" w:rsidP="003D2FFE">
      <w:pPr>
        <w:pStyle w:val="Heading2"/>
        <w:spacing w:after="240"/>
      </w:pPr>
      <w:r>
        <w:lastRenderedPageBreak/>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0164542D"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 xml:space="preserve">The Pension Fund’s Risk Register is reviewed regularly by </w:t>
      </w:r>
      <w:r w:rsidR="007D0620">
        <w:t xml:space="preserve">the </w:t>
      </w:r>
      <w:r w:rsidRPr="00690F76">
        <w:t xml:space="preserve">Board. </w:t>
      </w:r>
      <w:r>
        <w:t xml:space="preserve">The </w:t>
      </w:r>
      <w:r w:rsidR="007D0620">
        <w:t xml:space="preserve">next review </w:t>
      </w:r>
      <w:r w:rsidR="0058715E">
        <w:t>is elsewhere on the agenda for this meeting</w:t>
      </w:r>
      <w:r w:rsidR="006D6B23">
        <w:t>.</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07D846CB" w:rsidR="00FD31A0" w:rsidRPr="004A2543" w:rsidRDefault="00180D94" w:rsidP="00FD31A0">
      <w:pPr>
        <w:numPr>
          <w:ilvl w:val="0"/>
          <w:numId w:val="16"/>
        </w:numPr>
        <w:autoSpaceDE w:val="0"/>
        <w:autoSpaceDN w:val="0"/>
        <w:adjustRightInd w:val="0"/>
        <w:ind w:left="426" w:hanging="426"/>
      </w:pPr>
      <w:r w:rsidRPr="003737C1">
        <w:rPr>
          <w:szCs w:val="24"/>
          <w:lang w:val="en-US"/>
        </w:rPr>
        <w:t>The performance of the Pension Fund directly affects the level of employer contribution which then, in turn, affects the resources available for the Council’s priorities</w:t>
      </w:r>
      <w:r w:rsidR="00F22AA0" w:rsidRPr="003737C1">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68480051" w:rsidR="00912904" w:rsidRPr="00A66326" w:rsidRDefault="00912904" w:rsidP="00912904">
      <w:pPr>
        <w:rPr>
          <w:sz w:val="28"/>
        </w:rPr>
      </w:pPr>
      <w:r w:rsidRPr="00A66326">
        <w:rPr>
          <w:b/>
          <w:sz w:val="28"/>
        </w:rPr>
        <w:t xml:space="preserve">Statutory Officer:  </w:t>
      </w:r>
      <w:r w:rsidR="00892CE6">
        <w:rPr>
          <w:b/>
          <w:sz w:val="28"/>
        </w:rPr>
        <w:t>Dawn Calvert</w:t>
      </w:r>
    </w:p>
    <w:p w14:paraId="57640BD9" w14:textId="64851CBC" w:rsidR="00912904" w:rsidRDefault="00912904" w:rsidP="00912904">
      <w:r w:rsidRPr="00A66326">
        <w:t>Signed by the Chief Financial Officer</w:t>
      </w:r>
    </w:p>
    <w:p w14:paraId="5745A2E3" w14:textId="049492A8" w:rsidR="00912904" w:rsidRPr="00A66326" w:rsidRDefault="00912904" w:rsidP="00912904">
      <w:pPr>
        <w:spacing w:after="480"/>
        <w:rPr>
          <w:sz w:val="28"/>
        </w:rPr>
      </w:pPr>
      <w:r w:rsidRPr="00A66326">
        <w:rPr>
          <w:b/>
          <w:sz w:val="28"/>
        </w:rPr>
        <w:t xml:space="preserve">Date:  </w:t>
      </w:r>
      <w:r w:rsidR="003B3597">
        <w:rPr>
          <w:b/>
          <w:sz w:val="28"/>
        </w:rPr>
        <w:t>0</w:t>
      </w:r>
      <w:r w:rsidR="00892CE6">
        <w:rPr>
          <w:b/>
          <w:sz w:val="28"/>
        </w:rPr>
        <w:t>2/12/2021</w:t>
      </w:r>
    </w:p>
    <w:p w14:paraId="2586CC50" w14:textId="1929C5E4" w:rsidR="00912904" w:rsidRPr="00A66326" w:rsidRDefault="00912904" w:rsidP="00912904">
      <w:pPr>
        <w:rPr>
          <w:sz w:val="28"/>
        </w:rPr>
      </w:pPr>
      <w:r w:rsidRPr="00A66326">
        <w:rPr>
          <w:b/>
          <w:sz w:val="28"/>
        </w:rPr>
        <w:t xml:space="preserve">Statutory Officer:  </w:t>
      </w:r>
      <w:r w:rsidR="00892CE6">
        <w:rPr>
          <w:b/>
          <w:sz w:val="28"/>
        </w:rPr>
        <w:t>Sharon Clarke</w:t>
      </w:r>
    </w:p>
    <w:p w14:paraId="3F58D77A" w14:textId="60ABC8E9" w:rsidR="00912904" w:rsidRPr="00A66326" w:rsidRDefault="00912904" w:rsidP="00912904">
      <w:r w:rsidRPr="00A66326">
        <w:t>Signed on behalf of the Monitoring Officer</w:t>
      </w:r>
    </w:p>
    <w:p w14:paraId="61F8C7E6" w14:textId="52CAEBEE" w:rsidR="00912904" w:rsidRPr="003313EA" w:rsidRDefault="00912904" w:rsidP="00912904">
      <w:pPr>
        <w:spacing w:after="480"/>
        <w:rPr>
          <w:sz w:val="28"/>
        </w:rPr>
      </w:pPr>
      <w:r w:rsidRPr="00A66326">
        <w:rPr>
          <w:b/>
          <w:sz w:val="28"/>
        </w:rPr>
        <w:t xml:space="preserve">Date:  </w:t>
      </w:r>
      <w:r w:rsidR="003B3597">
        <w:rPr>
          <w:b/>
          <w:sz w:val="28"/>
        </w:rPr>
        <w:t>0</w:t>
      </w:r>
      <w:r w:rsidR="00892CE6">
        <w:rPr>
          <w:b/>
          <w:sz w:val="28"/>
        </w:rPr>
        <w:t>2/12/2021</w:t>
      </w:r>
    </w:p>
    <w:p w14:paraId="2019A53D" w14:textId="5BBFBF43"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8C69B4">
        <w:rPr>
          <w:b/>
          <w:sz w:val="28"/>
        </w:rPr>
        <w:t xml:space="preserve">Charlie Stewart </w:t>
      </w:r>
    </w:p>
    <w:p w14:paraId="12E4D11B" w14:textId="1D1AD2AD" w:rsidR="00912904" w:rsidRPr="00A66326" w:rsidRDefault="00365D29" w:rsidP="00912904">
      <w:r>
        <w:t>Signed</w:t>
      </w:r>
      <w:r w:rsidR="00912904" w:rsidRPr="00A66326">
        <w:t xml:space="preserve"> </w:t>
      </w:r>
      <w:r w:rsidR="00892CE6">
        <w:t>by</w:t>
      </w:r>
      <w:r w:rsidR="00912904" w:rsidRPr="00A66326">
        <w:t xml:space="preserve"> the Corporate Director</w:t>
      </w:r>
    </w:p>
    <w:p w14:paraId="21482980" w14:textId="4DC9EC71" w:rsidR="00912904" w:rsidRPr="00A66326" w:rsidRDefault="00912904" w:rsidP="00912904">
      <w:pPr>
        <w:spacing w:after="480"/>
        <w:rPr>
          <w:sz w:val="28"/>
        </w:rPr>
      </w:pPr>
      <w:r w:rsidRPr="00A66326">
        <w:rPr>
          <w:b/>
          <w:sz w:val="28"/>
        </w:rPr>
        <w:t xml:space="preserve">Date:  </w:t>
      </w:r>
      <w:r w:rsidR="003B3597">
        <w:rPr>
          <w:b/>
          <w:sz w:val="28"/>
        </w:rPr>
        <w:t>0</w:t>
      </w:r>
      <w:r w:rsidR="008C69B4">
        <w:rPr>
          <w:b/>
          <w:sz w:val="28"/>
        </w:rPr>
        <w:t>2/12/2021</w:t>
      </w:r>
    </w:p>
    <w:p w14:paraId="1B2953FF" w14:textId="77777777" w:rsidR="003B3597" w:rsidRDefault="003B3597" w:rsidP="00912904">
      <w:pPr>
        <w:pStyle w:val="Heading2"/>
        <w:spacing w:after="240"/>
      </w:pPr>
    </w:p>
    <w:p w14:paraId="686CE5D8" w14:textId="568082DE" w:rsidR="00912904" w:rsidRPr="00435B5D" w:rsidRDefault="00912904" w:rsidP="00912904">
      <w:pPr>
        <w:pStyle w:val="Heading2"/>
        <w:spacing w:after="240"/>
      </w:pPr>
      <w:r>
        <w:lastRenderedPageBreak/>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sidRPr="003B3597">
        <w:rPr>
          <w:b w:val="0"/>
          <w:bCs w:val="0"/>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2"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253AC26C" w:rsidR="002A2389" w:rsidRDefault="002A2389" w:rsidP="003737C1">
      <w:pPr>
        <w:pStyle w:val="Infotext"/>
        <w:spacing w:before="360"/>
      </w:pPr>
      <w:r w:rsidRPr="00D914D2">
        <w:rPr>
          <w:b/>
        </w:rPr>
        <w:t>Background Papers</w:t>
      </w:r>
      <w:r>
        <w:t xml:space="preserve">:  </w:t>
      </w:r>
      <w:r w:rsidR="00180D94">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3"/>
  </w:num>
  <w:num w:numId="10">
    <w:abstractNumId w:val="13"/>
  </w:num>
  <w:num w:numId="11">
    <w:abstractNumId w:val="17"/>
  </w:num>
  <w:num w:numId="12">
    <w:abstractNumId w:val="12"/>
  </w:num>
  <w:num w:numId="13">
    <w:abstractNumId w:val="2"/>
  </w:num>
  <w:num w:numId="14">
    <w:abstractNumId w:val="6"/>
  </w:num>
  <w:num w:numId="15">
    <w:abstractNumId w:val="10"/>
  </w:num>
  <w:num w:numId="16">
    <w:abstractNumId w:val="4"/>
  </w:num>
  <w:num w:numId="17">
    <w:abstractNumId w:val="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67C9"/>
    <w:rsid w:val="000A58A1"/>
    <w:rsid w:val="000A6659"/>
    <w:rsid w:val="000B0E6F"/>
    <w:rsid w:val="000B6DBB"/>
    <w:rsid w:val="000D2BF2"/>
    <w:rsid w:val="000D5870"/>
    <w:rsid w:val="000F3B4B"/>
    <w:rsid w:val="000F65C0"/>
    <w:rsid w:val="00127E09"/>
    <w:rsid w:val="00134D55"/>
    <w:rsid w:val="00180D94"/>
    <w:rsid w:val="001939BA"/>
    <w:rsid w:val="001A6EB0"/>
    <w:rsid w:val="001B441D"/>
    <w:rsid w:val="001C5225"/>
    <w:rsid w:val="001E0219"/>
    <w:rsid w:val="00213BE7"/>
    <w:rsid w:val="00231A1D"/>
    <w:rsid w:val="00244120"/>
    <w:rsid w:val="00293F9F"/>
    <w:rsid w:val="002A1BD1"/>
    <w:rsid w:val="002A2389"/>
    <w:rsid w:val="002A68FF"/>
    <w:rsid w:val="002B62F0"/>
    <w:rsid w:val="002C08E2"/>
    <w:rsid w:val="002C1794"/>
    <w:rsid w:val="002D2FC5"/>
    <w:rsid w:val="002E6637"/>
    <w:rsid w:val="002E77E3"/>
    <w:rsid w:val="002F0E81"/>
    <w:rsid w:val="002F7039"/>
    <w:rsid w:val="00332947"/>
    <w:rsid w:val="00333EB4"/>
    <w:rsid w:val="00345915"/>
    <w:rsid w:val="00365D29"/>
    <w:rsid w:val="003737C1"/>
    <w:rsid w:val="00374F22"/>
    <w:rsid w:val="00385716"/>
    <w:rsid w:val="003B3597"/>
    <w:rsid w:val="003D2FFE"/>
    <w:rsid w:val="003D5F0A"/>
    <w:rsid w:val="003D73DF"/>
    <w:rsid w:val="00400032"/>
    <w:rsid w:val="0042394B"/>
    <w:rsid w:val="00473B08"/>
    <w:rsid w:val="00474B5F"/>
    <w:rsid w:val="004A3CE6"/>
    <w:rsid w:val="004A4A1D"/>
    <w:rsid w:val="004B2C9D"/>
    <w:rsid w:val="004B4A47"/>
    <w:rsid w:val="004E667D"/>
    <w:rsid w:val="004E6AF9"/>
    <w:rsid w:val="005031DF"/>
    <w:rsid w:val="00534BAA"/>
    <w:rsid w:val="0058715E"/>
    <w:rsid w:val="00597314"/>
    <w:rsid w:val="005A61AF"/>
    <w:rsid w:val="005D0886"/>
    <w:rsid w:val="005E384D"/>
    <w:rsid w:val="005F2181"/>
    <w:rsid w:val="005F61BC"/>
    <w:rsid w:val="005F724B"/>
    <w:rsid w:val="00606705"/>
    <w:rsid w:val="00625DFF"/>
    <w:rsid w:val="0063072B"/>
    <w:rsid w:val="00662891"/>
    <w:rsid w:val="006628B7"/>
    <w:rsid w:val="00675FCB"/>
    <w:rsid w:val="006A0B87"/>
    <w:rsid w:val="006B3942"/>
    <w:rsid w:val="006B7DC6"/>
    <w:rsid w:val="006C3914"/>
    <w:rsid w:val="006C4D4C"/>
    <w:rsid w:val="006D3648"/>
    <w:rsid w:val="006D6B23"/>
    <w:rsid w:val="006F6D50"/>
    <w:rsid w:val="006F7D4A"/>
    <w:rsid w:val="00717E8A"/>
    <w:rsid w:val="0074184E"/>
    <w:rsid w:val="00743829"/>
    <w:rsid w:val="00755F8D"/>
    <w:rsid w:val="007808A7"/>
    <w:rsid w:val="007855AE"/>
    <w:rsid w:val="00796503"/>
    <w:rsid w:val="007B0CB6"/>
    <w:rsid w:val="007D0620"/>
    <w:rsid w:val="007D2BDA"/>
    <w:rsid w:val="007D56C8"/>
    <w:rsid w:val="007E3934"/>
    <w:rsid w:val="007E7303"/>
    <w:rsid w:val="008072D5"/>
    <w:rsid w:val="008212A0"/>
    <w:rsid w:val="00827014"/>
    <w:rsid w:val="00837F53"/>
    <w:rsid w:val="00862DDC"/>
    <w:rsid w:val="00892CE6"/>
    <w:rsid w:val="008A15FC"/>
    <w:rsid w:val="008C69B4"/>
    <w:rsid w:val="008D1750"/>
    <w:rsid w:val="008D7800"/>
    <w:rsid w:val="008E2910"/>
    <w:rsid w:val="008E4913"/>
    <w:rsid w:val="00900464"/>
    <w:rsid w:val="0090100E"/>
    <w:rsid w:val="00912904"/>
    <w:rsid w:val="00922249"/>
    <w:rsid w:val="0093767E"/>
    <w:rsid w:val="00972A02"/>
    <w:rsid w:val="0099517C"/>
    <w:rsid w:val="009A0937"/>
    <w:rsid w:val="009B2ECD"/>
    <w:rsid w:val="009B7914"/>
    <w:rsid w:val="009F430B"/>
    <w:rsid w:val="00A160B2"/>
    <w:rsid w:val="00A16271"/>
    <w:rsid w:val="00A24389"/>
    <w:rsid w:val="00A566E7"/>
    <w:rsid w:val="00A630BF"/>
    <w:rsid w:val="00A73B25"/>
    <w:rsid w:val="00A940D3"/>
    <w:rsid w:val="00A96FCA"/>
    <w:rsid w:val="00AA4BE8"/>
    <w:rsid w:val="00AB1EE3"/>
    <w:rsid w:val="00AC0AAB"/>
    <w:rsid w:val="00AC7BA9"/>
    <w:rsid w:val="00B0425E"/>
    <w:rsid w:val="00B26886"/>
    <w:rsid w:val="00B84A87"/>
    <w:rsid w:val="00B900E2"/>
    <w:rsid w:val="00B9118E"/>
    <w:rsid w:val="00BD6115"/>
    <w:rsid w:val="00BD684A"/>
    <w:rsid w:val="00C05E9C"/>
    <w:rsid w:val="00C32DAE"/>
    <w:rsid w:val="00C40E24"/>
    <w:rsid w:val="00C61B80"/>
    <w:rsid w:val="00C92D9A"/>
    <w:rsid w:val="00C96EF5"/>
    <w:rsid w:val="00D13C5D"/>
    <w:rsid w:val="00D25064"/>
    <w:rsid w:val="00D32B51"/>
    <w:rsid w:val="00D34668"/>
    <w:rsid w:val="00D3740E"/>
    <w:rsid w:val="00D40335"/>
    <w:rsid w:val="00D82F57"/>
    <w:rsid w:val="00D841A5"/>
    <w:rsid w:val="00D914D2"/>
    <w:rsid w:val="00DA25DB"/>
    <w:rsid w:val="00DB0791"/>
    <w:rsid w:val="00DB1C98"/>
    <w:rsid w:val="00DD4251"/>
    <w:rsid w:val="00E02B50"/>
    <w:rsid w:val="00E03F11"/>
    <w:rsid w:val="00E06DC8"/>
    <w:rsid w:val="00E220B5"/>
    <w:rsid w:val="00E2344F"/>
    <w:rsid w:val="00E33D93"/>
    <w:rsid w:val="00E609EF"/>
    <w:rsid w:val="00E8111D"/>
    <w:rsid w:val="00E8515B"/>
    <w:rsid w:val="00E90AFF"/>
    <w:rsid w:val="00EA0AE0"/>
    <w:rsid w:val="00EC70CD"/>
    <w:rsid w:val="00EF2F91"/>
    <w:rsid w:val="00F22AA0"/>
    <w:rsid w:val="00F33EE3"/>
    <w:rsid w:val="00F4213B"/>
    <w:rsid w:val="00F806B8"/>
    <w:rsid w:val="00F844A7"/>
    <w:rsid w:val="00F849ED"/>
    <w:rsid w:val="00F92398"/>
    <w:rsid w:val="00FD308E"/>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remy.randall@harro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726</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9</cp:revision>
  <cp:lastPrinted>2007-07-12T09:53:00Z</cp:lastPrinted>
  <dcterms:created xsi:type="dcterms:W3CDTF">2021-11-30T17:37:00Z</dcterms:created>
  <dcterms:modified xsi:type="dcterms:W3CDTF">2021-12-07T11:42:00Z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